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  <w:jc w:val="center"/>
      </w:pPr>
      <w:r>
        <w:rPr>
          <w:b/>
          <w:i w:val="0"/>
          <w:sz w:val="26"/>
        </w:rPr>
        <w:t>REDDEDİLEN İŞYERİ SİGORTASI HASARI</w:t>
      </w:r>
    </w:p>
    <w:p>
      <w:pPr>
        <w:spacing w:after="80"/>
        <w:jc w:val="center"/>
      </w:pPr>
      <w:r>
        <w:rPr>
          <w:b/>
          <w:i w:val="0"/>
          <w:sz w:val="24"/>
        </w:rPr>
        <w:t>Başvuru Ekleri Kontrol Listesi</w:t>
      </w:r>
    </w:p>
    <w:p>
      <w:pPr>
        <w:spacing w:after="280"/>
        <w:jc w:val="center"/>
      </w:pPr>
      <w:r>
        <w:rPr>
          <w:b w:val="0"/>
          <w:i/>
          <w:sz w:val="18"/>
        </w:rPr>
        <w:t>SigortamHukuk.com — Av. Melih Küçükcankurtaran</w:t>
      </w:r>
    </w:p>
    <w:p>
      <w:pPr>
        <w:spacing w:after="240"/>
        <w:jc w:val="both"/>
      </w:pPr>
      <w:r>
        <w:rPr>
          <w:b w:val="0"/>
          <w:i w:val="0"/>
        </w:rPr>
        <w:t>Bu liste; sigorta şirketine itiraz, Sigorta Tahkim Komisyonu başvurusu veya dava aşamasında dosyanıza eklenmesi gereken belgeleri ve her birinin ne işe yaradığını açıklar. Belgeleri toplarken her kalemin yanındaki kutucuğu işaretleyiniz.</w:t>
      </w:r>
    </w:p>
    <w:p>
      <w:pPr>
        <w:spacing w:after="40"/>
      </w:pPr>
      <w:r>
        <w:rPr>
          <w:b/>
        </w:rPr>
        <w:t>☐  Sigorta poliçesi ve zeyilnameler</w:t>
      </w:r>
    </w:p>
    <w:p>
      <w:pPr>
        <w:spacing w:after="160"/>
        <w:ind w:left="425"/>
        <w:jc w:val="both"/>
      </w:pPr>
      <w:r>
        <w:rPr>
          <w:sz w:val="20"/>
        </w:rPr>
        <w:t>Teminatların, limitlerin, muafiyetlerin ve özel şartların (klozların) tek kanıtı poliçedir. Yenileme dönemlerine ait eski poliçeler de beyan tartışmalarında önem taşır.</w:t>
      </w:r>
    </w:p>
    <w:p>
      <w:pPr>
        <w:spacing w:after="40"/>
      </w:pPr>
      <w:r>
        <w:rPr>
          <w:b/>
        </w:rPr>
        <w:t>☐  Prim ödeme dekontları</w:t>
      </w:r>
    </w:p>
    <w:p>
      <w:pPr>
        <w:spacing w:after="160"/>
        <w:ind w:left="425"/>
        <w:jc w:val="both"/>
      </w:pPr>
      <w:r>
        <w:rPr>
          <w:sz w:val="20"/>
        </w:rPr>
        <w:t>Primlerin ödendiğini gösterir; 'prim ödenmedi' savunmasını baştan kapatır.</w:t>
      </w:r>
    </w:p>
    <w:p>
      <w:pPr>
        <w:spacing w:after="40"/>
      </w:pPr>
      <w:r>
        <w:rPr>
          <w:b/>
        </w:rPr>
        <w:t>☐  Sigorta şirketinin ret veya kısmi ödeme yazısı</w:t>
      </w:r>
    </w:p>
    <w:p>
      <w:pPr>
        <w:spacing w:after="160"/>
        <w:ind w:left="425"/>
        <w:jc w:val="both"/>
      </w:pPr>
      <w:r>
        <w:rPr>
          <w:sz w:val="20"/>
        </w:rPr>
        <w:t>İtirazın hedefi bu yazıdır; ret gerekçesinin hangi poliçe hükmüne dayandığını gösterir. Yazılı verilmediyse e-posta/KEP ile yazılı gerekçe talep edin.</w:t>
      </w:r>
    </w:p>
    <w:p>
      <w:pPr>
        <w:spacing w:after="40"/>
      </w:pPr>
      <w:r>
        <w:rPr>
          <w:b/>
        </w:rPr>
        <w:t>☐  Sigorta ekspertiz raporu</w:t>
      </w:r>
    </w:p>
    <w:p>
      <w:pPr>
        <w:spacing w:after="160"/>
        <w:ind w:left="425"/>
        <w:jc w:val="both"/>
      </w:pPr>
      <w:r>
        <w:rPr>
          <w:sz w:val="20"/>
        </w:rPr>
        <w:t>Sigortalının raporu isteme hakkı vardır. Hasar hesabı, eskime payı ve muafiyet uygulaması bu rapor üzerinden denetlenir ve itiraz edilir.</w:t>
      </w:r>
    </w:p>
    <w:p>
      <w:pPr>
        <w:spacing w:after="40"/>
      </w:pPr>
      <w:r>
        <w:rPr>
          <w:b/>
        </w:rPr>
        <w:t>☐  Hasar ihbarına ilişkin yazışmalar</w:t>
      </w:r>
    </w:p>
    <w:p>
      <w:pPr>
        <w:spacing w:after="160"/>
        <w:ind w:left="425"/>
        <w:jc w:val="both"/>
      </w:pPr>
      <w:r>
        <w:rPr>
          <w:sz w:val="20"/>
        </w:rPr>
        <w:t>İhbarın süresinde yapıldığını kanıtlar; 'geç ihbar' savunmasına karşı korur (çağrı kaydı, e-posta, acente yazışması).</w:t>
      </w:r>
    </w:p>
    <w:p>
      <w:pPr>
        <w:spacing w:after="40"/>
      </w:pPr>
      <w:r>
        <w:rPr>
          <w:b/>
        </w:rPr>
        <w:t>☐  İtfaiye raporu (yangın hasarında)</w:t>
      </w:r>
    </w:p>
    <w:p>
      <w:pPr>
        <w:spacing w:after="160"/>
        <w:ind w:left="425"/>
        <w:jc w:val="both"/>
      </w:pPr>
      <w:r>
        <w:rPr>
          <w:sz w:val="20"/>
        </w:rPr>
        <w:t>Yangının çıkış nedeni ve yayılımı konusunda resmî tespittir; 'kasıt' veya 'teminat dışı neden' iddialarına karşı kritik delildir.</w:t>
      </w:r>
    </w:p>
    <w:p>
      <w:pPr>
        <w:spacing w:after="40"/>
      </w:pPr>
      <w:r>
        <w:rPr>
          <w:b/>
        </w:rPr>
        <w:t>☐  Kolluk tutanakları ve savcılık evrakı (hırsızlık hasarında)</w:t>
      </w:r>
    </w:p>
    <w:p>
      <w:pPr>
        <w:spacing w:after="160"/>
        <w:ind w:left="425"/>
        <w:jc w:val="both"/>
      </w:pPr>
      <w:r>
        <w:rPr>
          <w:sz w:val="20"/>
        </w:rPr>
        <w:t>Olayın gerçekliğini ve gerçekleşme şeklini (kırarak girme, anahtar uydurma vb.) belgeler; hırsızlık istisnalarının tartışmasında belirleyicidir.</w:t>
      </w:r>
    </w:p>
    <w:p>
      <w:pPr>
        <w:spacing w:after="40"/>
      </w:pPr>
      <w:r>
        <w:rPr>
          <w:b/>
        </w:rPr>
        <w:t>☐  Meteoroloji raporu (fırtına, sel, kar hasarında)</w:t>
      </w:r>
    </w:p>
    <w:p>
      <w:pPr>
        <w:spacing w:after="160"/>
        <w:ind w:left="425"/>
        <w:jc w:val="both"/>
      </w:pPr>
      <w:r>
        <w:rPr>
          <w:sz w:val="20"/>
        </w:rPr>
        <w:t>Olay günü rüzgâr hızı, yağış miktarı gibi verilerle rizikonun doğa olayından kaynaklandığını kanıtlar (MGM'den talep edilir).</w:t>
      </w:r>
    </w:p>
    <w:p>
      <w:pPr>
        <w:spacing w:after="40"/>
      </w:pPr>
      <w:r>
        <w:rPr>
          <w:b/>
        </w:rPr>
        <w:t>☐  Hasar yeri fotoğraf ve video kayıtları</w:t>
      </w:r>
    </w:p>
    <w:p>
      <w:pPr>
        <w:spacing w:after="160"/>
        <w:ind w:left="425"/>
        <w:jc w:val="both"/>
      </w:pPr>
      <w:r>
        <w:rPr>
          <w:sz w:val="20"/>
        </w:rPr>
        <w:t>Onarım öncesi durumu belgeler. Tarih damgalı olması ve onarıma başlamadan çekilmesi önemlidir.</w:t>
      </w:r>
    </w:p>
    <w:p>
      <w:pPr>
        <w:spacing w:after="40"/>
      </w:pPr>
      <w:r>
        <w:rPr>
          <w:b/>
        </w:rPr>
        <w:t>☐  Güvenlik kamerası kayıtları</w:t>
      </w:r>
    </w:p>
    <w:p>
      <w:pPr>
        <w:spacing w:after="160"/>
        <w:ind w:left="425"/>
        <w:jc w:val="both"/>
      </w:pPr>
      <w:r>
        <w:rPr>
          <w:sz w:val="20"/>
        </w:rPr>
        <w:t>Özellikle hırsızlık hasarında olayın şeklini kanıtlar; kayıtların üzerine yazılmadan (genelde 15-30 gün) yedeklenmesi gerekir.</w:t>
      </w:r>
    </w:p>
    <w:p>
      <w:pPr>
        <w:spacing w:after="40"/>
      </w:pPr>
      <w:r>
        <w:rPr>
          <w:b/>
        </w:rPr>
        <w:t>☐  Ticari defter ve kayıtlar (envanter, stok listeleri)</w:t>
      </w:r>
    </w:p>
    <w:p>
      <w:pPr>
        <w:spacing w:after="160"/>
        <w:ind w:left="425"/>
        <w:jc w:val="both"/>
      </w:pPr>
      <w:r>
        <w:rPr>
          <w:sz w:val="20"/>
        </w:rPr>
        <w:t>Emtia ve demirbaş zararının miktarını kanıtlamanın ana yoludur; Yargıtay, defter kayıtlarını teminat kapsamının belirlenmesinde de esas almaktadır.</w:t>
      </w:r>
    </w:p>
    <w:p>
      <w:pPr>
        <w:spacing w:after="40"/>
      </w:pPr>
      <w:r>
        <w:rPr>
          <w:b/>
        </w:rPr>
        <w:t>☐  Alış faturaları ve e-fatura dökümleri</w:t>
      </w:r>
    </w:p>
    <w:p>
      <w:pPr>
        <w:spacing w:after="160"/>
        <w:ind w:left="425"/>
        <w:jc w:val="both"/>
      </w:pPr>
      <w:r>
        <w:rPr>
          <w:sz w:val="20"/>
        </w:rPr>
        <w:t>Hasar gören malların varlığını ve değerini belgeler; eksper hesabıyla karşılaştırma imkânı verir.</w:t>
      </w:r>
    </w:p>
    <w:p>
      <w:pPr>
        <w:spacing w:after="40"/>
      </w:pPr>
      <w:r>
        <w:rPr>
          <w:b/>
        </w:rPr>
        <w:t>☐  Onarım teklifleri ve faturaları</w:t>
      </w:r>
    </w:p>
    <w:p>
      <w:pPr>
        <w:spacing w:after="160"/>
        <w:ind w:left="425"/>
        <w:jc w:val="both"/>
      </w:pPr>
      <w:r>
        <w:rPr>
          <w:sz w:val="20"/>
        </w:rPr>
        <w:t>Bina ve demirbaş hasarının giderim maliyetini gösterir; birden fazla teklif alınması hasar tutarını güçlendirir.</w:t>
      </w:r>
    </w:p>
    <w:p>
      <w:pPr>
        <w:spacing w:after="40"/>
      </w:pPr>
      <w:r>
        <w:rPr>
          <w:b/>
        </w:rPr>
        <w:t>☐  Tapu senedi veya kira sözleşmesi</w:t>
      </w:r>
    </w:p>
    <w:p>
      <w:pPr>
        <w:spacing w:after="160"/>
        <w:ind w:left="425"/>
        <w:jc w:val="both"/>
      </w:pPr>
      <w:r>
        <w:rPr>
          <w:sz w:val="20"/>
        </w:rPr>
        <w:t>Sigortalanabilir menfaati (bina/kiracı ilişkisini) kanıtlar; bina ve dekorasyon teminatı taleplerinde gerekir.</w:t>
      </w:r>
    </w:p>
    <w:p>
      <w:pPr>
        <w:spacing w:after="40"/>
      </w:pPr>
      <w:r>
        <w:rPr>
          <w:b/>
        </w:rPr>
        <w:t>☐  Vergi levhası ve faaliyet belgesi</w:t>
      </w:r>
    </w:p>
    <w:p>
      <w:pPr>
        <w:spacing w:after="160"/>
        <w:ind w:left="425"/>
        <w:jc w:val="both"/>
      </w:pPr>
      <w:r>
        <w:rPr>
          <w:sz w:val="20"/>
        </w:rPr>
        <w:t>İşletmenin faaliyet konusunu belgeler; 'faaliyet farklı beyan edildi' savunmasına karşı kullanılır.</w:t>
      </w:r>
    </w:p>
    <w:p>
      <w:pPr>
        <w:spacing w:after="40"/>
      </w:pPr>
      <w:r>
        <w:rPr>
          <w:b/>
        </w:rPr>
        <w:t>☐  Delil tespiti raporu (yaptırıldıysa)</w:t>
      </w:r>
    </w:p>
    <w:p>
      <w:pPr>
        <w:spacing w:after="160"/>
        <w:ind w:left="425"/>
        <w:jc w:val="both"/>
      </w:pPr>
      <w:r>
        <w:rPr>
          <w:sz w:val="20"/>
        </w:rPr>
        <w:t>Mahkeme eliyle yapılan hasar tespiti, sonraki tahkim/dava aşamasında güçlü ve tarafsız bir delildir.</w:t>
      </w:r>
    </w:p>
    <w:p>
      <w:pPr>
        <w:spacing w:after="80"/>
      </w:pPr>
      <w:r>
        <w:rPr>
          <w:b/>
          <w:i w:val="0"/>
        </w:rPr>
        <w:t>Pratik uyarılar</w:t>
      </w:r>
    </w:p>
    <w:p>
      <w:pPr>
        <w:spacing w:after="80"/>
        <w:jc w:val="both"/>
      </w:pPr>
      <w:r>
        <w:t>• Onarıma başlamadan önce hasarı mutlaka belgeleyin; aksi hâlde hasar tutarının ispatı güçleşir.</w:t>
      </w:r>
    </w:p>
    <w:p>
      <w:pPr>
        <w:spacing w:after="80"/>
        <w:jc w:val="both"/>
      </w:pPr>
      <w:r>
        <w:t>• Sigorta şirketiyle yapılan her görüşmeyi yazılı kanala (e-posta/KEP) taşıyın.</w:t>
      </w:r>
    </w:p>
    <w:p>
      <w:pPr>
        <w:spacing w:after="80"/>
        <w:jc w:val="both"/>
      </w:pPr>
      <w:r>
        <w:t>• Zamanaşımı: TTK m. 1420 uyarınca istemler 2 yılda, tazminat istemleri her hâlde riziko tarihinden itibaren 6 yılda zamanaşımına uğrar; yazışmalar süreyi durdurmaz.</w:t>
      </w:r>
    </w:p>
    <w:p>
      <w:pPr>
        <w:spacing w:after="80"/>
        <w:jc w:val="both"/>
      </w:pPr>
      <w:r>
        <w:t>• İbraname veya mutabakatname imzalamadan önce mutlaka hukuki görüş alın; imzalanan ibraname sonraki talepleri engelleyebilir.</w:t>
      </w:r>
    </w:p>
    <w:p>
      <w:pPr>
        <w:spacing w:after="40"/>
      </w:pPr>
      <w:r>
        <w:rPr>
          <w:b w:val="0"/>
          <w:i w:val="0"/>
        </w:rPr>
      </w:r>
    </w:p>
    <w:p>
      <w:pPr>
        <w:spacing w:after="120"/>
      </w:pPr>
      <w:r>
        <w:rPr>
          <w:b w:val="0"/>
          <w:i/>
          <w:sz w:val="18"/>
        </w:rPr>
        <w:t>NOT: Bu belge SigortamHukuk.com tarafından genel bilgilendirme amacıyla hazırlanmıştır; hukuki tavsiye niteliği taşımaz. Somut olayınıza göre gereken belgeler değişebilir; bir avukattan destek almanız önerilir.</w:t>
      </w:r>
    </w:p>
    <w:sectPr w:rsidR="00FC693F" w:rsidRPr="0006063C" w:rsidSect="00034616">
      <w:pgSz w:w="12240" w:h="15840"/>
      <w:pgMar w:top="1417" w:right="1134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